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C04" w:rsidRPr="00052C04" w:rsidRDefault="00052C04" w:rsidP="00052C04">
      <w:pPr>
        <w:keepNext/>
        <w:spacing w:after="0" w:line="240" w:lineRule="auto"/>
        <w:jc w:val="both"/>
        <w:outlineLvl w:val="1"/>
        <w:rPr>
          <w:rFonts w:ascii="Times New Roman" w:eastAsia="Times New Roman" w:hAnsi="Times New Roman" w:cs="Times New Roman"/>
          <w:bCs/>
          <w:iCs/>
          <w:sz w:val="28"/>
          <w:szCs w:val="28"/>
          <w:lang w:val="x-none" w:eastAsia="x-none"/>
        </w:rPr>
      </w:pPr>
      <w:r w:rsidRPr="00052C04">
        <w:rPr>
          <w:rFonts w:ascii="Times New Roman" w:eastAsia="Times New Roman" w:hAnsi="Times New Roman" w:cs="Times New Roman"/>
          <w:b/>
          <w:iCs/>
          <w:caps/>
          <w:sz w:val="24"/>
          <w:szCs w:val="24"/>
          <w:lang w:val="x-none" w:eastAsia="x-none"/>
        </w:rPr>
        <w:t xml:space="preserve">chương trình BIỂU DIỄN nghệ thuật </w:t>
      </w:r>
      <w:r w:rsidRPr="00052C04">
        <w:rPr>
          <w:rFonts w:ascii="Times New Roman" w:eastAsia="Times New Roman" w:hAnsi="Times New Roman" w:cs="Times New Roman"/>
          <w:b/>
          <w:iCs/>
          <w:caps/>
          <w:sz w:val="24"/>
          <w:szCs w:val="24"/>
          <w:lang w:val="vi-VN" w:eastAsia="x-none"/>
        </w:rPr>
        <w:t>PHỤ</w:t>
      </w:r>
      <w:r w:rsidRPr="00052C04">
        <w:rPr>
          <w:rFonts w:ascii="Times New Roman" w:eastAsia="Times New Roman" w:hAnsi="Times New Roman" w:cs="Times New Roman"/>
          <w:b/>
          <w:iCs/>
          <w:caps/>
          <w:sz w:val="24"/>
          <w:szCs w:val="24"/>
          <w:lang w:val="x-none" w:eastAsia="x-none"/>
        </w:rPr>
        <w:t xml:space="preserve">c </w:t>
      </w:r>
      <w:r w:rsidRPr="00052C04">
        <w:rPr>
          <w:rFonts w:ascii="Times New Roman" w:eastAsia="Times New Roman" w:hAnsi="Times New Roman" w:cs="Times New Roman"/>
          <w:b/>
          <w:iCs/>
          <w:caps/>
          <w:sz w:val="24"/>
          <w:szCs w:val="24"/>
          <w:lang w:val="vi-VN" w:eastAsia="x-none"/>
        </w:rPr>
        <w:t>VỤ</w:t>
      </w:r>
      <w:r w:rsidRPr="00052C04">
        <w:rPr>
          <w:rFonts w:ascii="Times New Roman" w:eastAsia="Times New Roman" w:hAnsi="Times New Roman" w:cs="Times New Roman"/>
          <w:b/>
          <w:iCs/>
          <w:caps/>
          <w:sz w:val="24"/>
          <w:szCs w:val="24"/>
          <w:lang w:val="x-none" w:eastAsia="x-none"/>
        </w:rPr>
        <w:t xml:space="preserve"> khách du lỊch</w:t>
      </w:r>
      <w:r w:rsidRPr="00052C04">
        <w:rPr>
          <w:rFonts w:ascii="Times New Roman" w:eastAsia="Times New Roman" w:hAnsi="Times New Roman" w:cs="Times New Roman"/>
          <w:bCs/>
          <w:iCs/>
          <w:sz w:val="28"/>
          <w:szCs w:val="28"/>
          <w:lang w:val="x-none" w:eastAsia="x-none"/>
        </w:rPr>
        <w:t>,</w:t>
      </w:r>
      <w:r w:rsidRPr="00052C04">
        <w:rPr>
          <w:rFonts w:ascii="Times New Roman" w:eastAsia="Times New Roman" w:hAnsi="Times New Roman" w:cs="Times New Roman"/>
          <w:bCs/>
          <w:iCs/>
          <w:sz w:val="28"/>
          <w:szCs w:val="28"/>
          <w:lang w:val="vi-VN" w:eastAsia="x-none"/>
        </w:rPr>
        <w:t xml:space="preserve"> một hoạt động giải trí và trải nghiệm nghệ thuật được tổ chức tại các điểm đến du lịch nhằm hấp dẫn và chào đón khách du lịch. </w:t>
      </w:r>
    </w:p>
    <w:p w:rsidR="00052C04" w:rsidRPr="00052C04" w:rsidRDefault="00052C04" w:rsidP="00052C04">
      <w:pPr>
        <w:keepNext/>
        <w:spacing w:after="0" w:line="240" w:lineRule="auto"/>
        <w:jc w:val="both"/>
        <w:outlineLvl w:val="1"/>
        <w:rPr>
          <w:rFonts w:ascii="Times New Roman" w:eastAsia="Times New Roman" w:hAnsi="Times New Roman" w:cs="Times New Roman"/>
          <w:b/>
          <w:bCs/>
          <w:i/>
          <w:iCs/>
          <w:sz w:val="28"/>
          <w:szCs w:val="28"/>
          <w:lang w:val="x-none" w:eastAsia="x-none"/>
        </w:rPr>
      </w:pPr>
      <w:r w:rsidRPr="00052C04">
        <w:rPr>
          <w:rFonts w:ascii="Times New Roman" w:eastAsia="Times New Roman" w:hAnsi="Times New Roman" w:cs="Times New Roman"/>
          <w:bCs/>
          <w:iCs/>
          <w:sz w:val="28"/>
          <w:szCs w:val="28"/>
          <w:lang w:val="x-none" w:eastAsia="x-none"/>
        </w:rPr>
        <w:tab/>
      </w:r>
      <w:r w:rsidRPr="00052C04">
        <w:rPr>
          <w:rFonts w:ascii="Times New Roman" w:eastAsia="Times New Roman" w:hAnsi="Times New Roman" w:cs="Times New Roman"/>
          <w:bCs/>
          <w:iCs/>
          <w:sz w:val="28"/>
          <w:szCs w:val="28"/>
          <w:lang w:val="vi-VN" w:eastAsia="x-none"/>
        </w:rPr>
        <w:t>Chương trình này có thể bao gồm nhiều thể loại nghệ thuật và biểu diễn như</w:t>
      </w:r>
      <w:r w:rsidRPr="00052C04">
        <w:rPr>
          <w:rFonts w:ascii="Times New Roman" w:eastAsia="Times New Roman" w:hAnsi="Times New Roman" w:cs="Times New Roman"/>
          <w:bCs/>
          <w:iCs/>
          <w:sz w:val="28"/>
          <w:szCs w:val="28"/>
          <w:lang w:val="x-none" w:eastAsia="x-none"/>
        </w:rPr>
        <w:t>:</w:t>
      </w:r>
      <w:r w:rsidRPr="00052C04">
        <w:rPr>
          <w:rFonts w:ascii="Times New Roman" w:eastAsia="Times New Roman" w:hAnsi="Times New Roman" w:cs="Times New Roman"/>
          <w:bCs/>
          <w:iCs/>
          <w:sz w:val="28"/>
          <w:szCs w:val="28"/>
          <w:lang w:val="vi-VN" w:eastAsia="x-none"/>
        </w:rPr>
        <w:t xml:space="preserve"> nhạc, vũ đạo, kịch, xiếc, múa rối, nghệ thuật thị giác, và các hoạt động biểu diễn truyền thống văn hóa của địa phương…</w:t>
      </w:r>
      <w:r w:rsidRPr="00052C04">
        <w:rPr>
          <w:rFonts w:ascii="Times New Roman" w:eastAsia="Times New Roman" w:hAnsi="Times New Roman" w:cs="Times New Roman"/>
          <w:b/>
          <w:bCs/>
          <w:i/>
          <w:iCs/>
          <w:sz w:val="24"/>
          <w:szCs w:val="24"/>
          <w:lang w:val="vi-VN" w:eastAsia="x-none"/>
        </w:rPr>
        <w:t xml:space="preserve"> </w:t>
      </w:r>
      <w:r w:rsidRPr="00052C04">
        <w:rPr>
          <w:rFonts w:ascii="Times New Roman" w:eastAsia="Times New Roman" w:hAnsi="Times New Roman" w:cs="Times New Roman"/>
          <w:sz w:val="28"/>
          <w:szCs w:val="28"/>
          <w:lang w:val="vi-VN" w:eastAsia="x-none"/>
        </w:rPr>
        <w:t xml:space="preserve">Các chương trình biểu diễn nghệ thuật có thể được thực hiện bởi diễn viên chuyên nghiệp hoặc không chuyên (người dân địa phương). </w:t>
      </w:r>
      <w:r w:rsidRPr="00052C04">
        <w:rPr>
          <w:rFonts w:ascii="Times New Roman" w:eastAsia="Times New Roman" w:hAnsi="Times New Roman" w:cs="Times New Roman"/>
          <w:sz w:val="28"/>
          <w:szCs w:val="28"/>
          <w:lang w:val="x-none" w:eastAsia="x-none"/>
        </w:rPr>
        <w:t xml:space="preserve">CTBDNTPVKDL được thực hiện tại một vị trí định sẵn của điểm đến theo khung giờ cố định trong tuần, theo sự kiện và được thông báo công khai, rộng rãi, hoặc có thể trình diễn tuỳ vào nhu cầu của khách du lịch (thời gian, địa điểm…). </w:t>
      </w:r>
    </w:p>
    <w:p w:rsidR="00052C04" w:rsidRPr="00052C04" w:rsidRDefault="00052C04" w:rsidP="00052C04">
      <w:pPr>
        <w:spacing w:after="0" w:line="240" w:lineRule="auto"/>
        <w:ind w:firstLineChars="183" w:firstLine="512"/>
        <w:jc w:val="both"/>
        <w:rPr>
          <w:rFonts w:ascii="Times New Roman" w:eastAsia="Calibri" w:hAnsi="Times New Roman" w:cs="Times New Roman"/>
          <w:sz w:val="28"/>
          <w:lang w:val="vi-VN"/>
        </w:rPr>
      </w:pPr>
      <w:r w:rsidRPr="00052C04">
        <w:rPr>
          <w:rFonts w:ascii="Times New Roman" w:eastAsia="Calibri" w:hAnsi="Times New Roman" w:cs="Times New Roman"/>
          <w:sz w:val="28"/>
          <w:lang w:val="vi-VN"/>
        </w:rPr>
        <w:tab/>
        <w:t>Thuật ngữ “nghệ thuật biểu diễn” xuất hiện đầu tiên trong tiếng Anh vào năm 1711 gọi là “performing arts”, gồm nhiều các loại hình biểu diễn khác nhau. Căn cứ vào loại hình nghệ thuật, CTBDNTPVKDL có thể được phân chia thành ba loại: chương trình biểu diễn nghệ thuật truyền thống (ba-lê, múa rối, chèo, tuồng, kịch, quan họ, nhã nhạc cung đình, bài chòi…); chương trình biểu diễn nghệ thuật hiện đại (hát, nhảy hiện đại, nhạc nước và ánh sáng laze, pháo hoa, xiếc, tạp kỹ…); chương trình biểu diễn nghệ thuật tổng hợp (kết hợp truyền thống, hiện đại và công nghệ…)</w:t>
      </w:r>
    </w:p>
    <w:p w:rsidR="00052C04" w:rsidRPr="00052C04" w:rsidRDefault="00052C04" w:rsidP="00052C04">
      <w:pPr>
        <w:spacing w:after="0" w:line="240" w:lineRule="auto"/>
        <w:ind w:firstLineChars="183" w:firstLine="512"/>
        <w:jc w:val="both"/>
        <w:rPr>
          <w:rFonts w:ascii="Times New Roman" w:eastAsia="Calibri" w:hAnsi="Times New Roman" w:cs="Times New Roman"/>
          <w:sz w:val="28"/>
          <w:lang w:val="vi-VN"/>
        </w:rPr>
      </w:pPr>
      <w:r w:rsidRPr="00052C04">
        <w:rPr>
          <w:rFonts w:ascii="Times New Roman" w:eastAsia="Calibri" w:hAnsi="Times New Roman" w:cs="Times New Roman"/>
          <w:sz w:val="28"/>
          <w:lang w:val="vi-VN"/>
        </w:rPr>
        <w:t>Vai trò của CTBDNTPVKDL bao gồm: mang lại lợi ích kinh tế cho nhiều đối tượng liên quan; góp phần thu hút khách du lịch; thỏa mãn nhu cầu tinh thần của khách du lịch; góp phần bảo tồn, phát huy, phát triển các loại hình nghệ thuật cả truyền thống và hiện đại; góp phần quảng bá văn hóa của địa phương, quốc gia... Ngoài ra, các địa điểm trình diễn nghệ thuật cũng có thể trở thành các điểm tham quan du lịch.</w:t>
      </w:r>
    </w:p>
    <w:p w:rsidR="00052C04" w:rsidRPr="00052C04" w:rsidRDefault="00052C04" w:rsidP="00052C04">
      <w:pPr>
        <w:spacing w:after="0" w:line="240" w:lineRule="auto"/>
        <w:ind w:firstLineChars="183" w:firstLine="512"/>
        <w:jc w:val="both"/>
        <w:rPr>
          <w:rFonts w:ascii="Times New Roman" w:eastAsia="Calibri" w:hAnsi="Times New Roman" w:cs="Times New Roman"/>
          <w:sz w:val="28"/>
          <w:lang w:val="vi-VN"/>
        </w:rPr>
      </w:pPr>
      <w:r w:rsidRPr="00052C04">
        <w:rPr>
          <w:rFonts w:ascii="Times New Roman" w:eastAsia="Calibri" w:hAnsi="Times New Roman" w:cs="Times New Roman"/>
          <w:sz w:val="28"/>
          <w:lang w:val="vi-VN"/>
        </w:rPr>
        <w:t>Tìm hiểu văn hoá thông qua các chương trình biểu diễn nghệ thuật được coi là một trong những cách thức tiếp cận nhanh chóng và hiệu quả nhất, đặc biệt lại có tính hấp dẫn rất cao đối với khách du lịch. Tại nhiều quốc gia, các chương trình biểu diễn nghệ thuật là một trong những trọng điểm để phục vụ khách du lịch, được coi như điểm nhấn của chương trình du lịch, hay “chương trình phải xem” (must-see show) đối với khách du lịch. Tiêu biểu như chương trình biểu diễn múa ba-lê phục vụ khách du lịch ở Nga, chương trình biểu diễn thực cảnh của đạo diễn Trương Nghệ Mưu tại nhiều điểm du lịch nổi tiếng ở Trung Quốc, chương trình Siam Niramit ở Thái Lan…</w:t>
      </w:r>
    </w:p>
    <w:p w:rsidR="00052C04" w:rsidRPr="00052C04" w:rsidRDefault="00052C04" w:rsidP="00052C04">
      <w:pPr>
        <w:spacing w:after="0" w:line="240" w:lineRule="auto"/>
        <w:ind w:firstLineChars="183" w:firstLine="512"/>
        <w:jc w:val="both"/>
        <w:rPr>
          <w:rFonts w:ascii="Times New Roman" w:eastAsia="Calibri" w:hAnsi="Times New Roman" w:cs="Times New Roman"/>
          <w:sz w:val="28"/>
          <w:lang w:val="vi-VN"/>
        </w:rPr>
      </w:pPr>
      <w:r w:rsidRPr="00052C04">
        <w:rPr>
          <w:rFonts w:ascii="Times New Roman" w:eastAsia="Calibri" w:hAnsi="Times New Roman" w:cs="Times New Roman"/>
          <w:sz w:val="28"/>
          <w:lang w:val="vi-VN"/>
        </w:rPr>
        <w:t xml:space="preserve">Tại Việt Nam, các công ty lữ hành đã và đang kết hợp cùng với các đối tác có liên quan gắn kết thêm hoạt động thưởng thức CTBDNTPVKDL. Các loại hình nghệ thuật biểu diễn thường được xây dựng thành chương trình để phục vụ khách du lịch bao gồm: tuồng, chèo, cải lương, xiếc, múa rối, bài chòi, kịch, nhạc kịch, ca, múa, nhạc, tấu hài, tạp kỹ và các loại hình khác như khiêu vũ nghệ thuật; trình diễn trong nghệ thuật sắp đặt, nghệ thuật trình diễn đường phố... Các CTBDNTPVKDL thành công có thể kể đến như: múa rối nước (Hà Nội); các chương trình biểu diễn thực </w:t>
      </w:r>
      <w:r w:rsidRPr="00052C04">
        <w:rPr>
          <w:rFonts w:ascii="Times New Roman" w:eastAsia="Calibri" w:hAnsi="Times New Roman" w:cs="Times New Roman"/>
          <w:sz w:val="28"/>
          <w:lang w:val="vi-VN"/>
        </w:rPr>
        <w:lastRenderedPageBreak/>
        <w:t xml:space="preserve">cảnh như: tinh hoa Bắc Bộ (Hà Nội), ký ức Hội An (Quảng Nam), tinh hoa Việt Nam (Phú Quốc); À Ố show (Tp. Hồ Chí Minh); nhạc nước và ánh sáng laze Tuần Châu (Quảng Ninh); các chương trình biểu diễn nghệ thuật truyền thống như: đờn ca tài tử, cải lương (các tỉnh Đồng bằng sông Cửu Long), bài chòi (Quảng Nam), tuồng (Bình Định), nhã nhạc cung đình Huế (Thừa Thiên Huế), hát xoan (Phú Thọ), quan họ (Bắc Ninh)… </w:t>
      </w:r>
    </w:p>
    <w:p w:rsidR="00052C04" w:rsidRPr="00052C04" w:rsidRDefault="00052C04" w:rsidP="00052C04">
      <w:pPr>
        <w:spacing w:after="0" w:line="240" w:lineRule="auto"/>
        <w:ind w:firstLineChars="183" w:firstLine="512"/>
        <w:jc w:val="both"/>
        <w:rPr>
          <w:rFonts w:ascii="Times New Roman" w:eastAsia="Calibri" w:hAnsi="Times New Roman" w:cs="Times New Roman"/>
          <w:sz w:val="28"/>
          <w:lang w:val="vi-VN"/>
        </w:rPr>
      </w:pPr>
      <w:r w:rsidRPr="00052C04">
        <w:rPr>
          <w:rFonts w:ascii="Times New Roman" w:eastAsia="Calibri" w:hAnsi="Times New Roman" w:cs="Times New Roman"/>
          <w:sz w:val="28"/>
          <w:lang w:val="vi-VN"/>
        </w:rPr>
        <w:t>Việc xây dựng các CTBDNTPVKDL ở Việt Nam đang gặp phải nhiều khó khăn, thách thức như thiếu vốn, thiếu liên kết để xây dựng các chương trình có quy mô lớn, nội dung phải đảm bảo tính nguyên bản của văn hóa vừa phải hấp dẫn khách du lịch…</w:t>
      </w:r>
    </w:p>
    <w:p w:rsidR="00052C04" w:rsidRPr="00052C04" w:rsidRDefault="00052C04" w:rsidP="00052C04">
      <w:pPr>
        <w:spacing w:after="0" w:line="240" w:lineRule="auto"/>
        <w:ind w:firstLineChars="183" w:firstLine="413"/>
        <w:jc w:val="right"/>
        <w:rPr>
          <w:rFonts w:ascii="Times New Roman" w:eastAsia="Calibri" w:hAnsi="Times New Roman" w:cs="Times New Roman"/>
          <w:b/>
          <w:lang w:val="vi-VN"/>
        </w:rPr>
      </w:pPr>
      <w:r w:rsidRPr="00052C04">
        <w:rPr>
          <w:rFonts w:ascii="Times New Roman" w:eastAsia="Times New Roman" w:hAnsi="Times New Roman" w:cs="Times New Roman"/>
          <w:b/>
          <w:bCs/>
          <w:caps/>
          <w:spacing w:val="5"/>
          <w:lang w:val="vi-VN"/>
        </w:rPr>
        <w:t>NguyỄn Hoàng Mai</w:t>
      </w:r>
    </w:p>
    <w:p w:rsidR="00052C04" w:rsidRPr="00052C04" w:rsidRDefault="00052C04" w:rsidP="00052C04">
      <w:pPr>
        <w:spacing w:after="0" w:line="240" w:lineRule="auto"/>
        <w:jc w:val="both"/>
        <w:rPr>
          <w:rFonts w:ascii="Times New Roman" w:eastAsia="Calibri" w:hAnsi="Times New Roman" w:cs="Times New Roman"/>
          <w:b/>
          <w:sz w:val="24"/>
          <w:szCs w:val="20"/>
          <w:lang w:val="vi-VN"/>
        </w:rPr>
      </w:pPr>
      <w:r w:rsidRPr="00052C04">
        <w:rPr>
          <w:rFonts w:ascii="Times New Roman" w:eastAsia="Calibri" w:hAnsi="Times New Roman" w:cs="Times New Roman"/>
          <w:b/>
          <w:sz w:val="24"/>
          <w:szCs w:val="20"/>
          <w:lang w:val="vi-VN"/>
        </w:rPr>
        <w:t>Tài liệu tham khảo:</w:t>
      </w:r>
    </w:p>
    <w:p w:rsidR="00052C04" w:rsidRPr="00052C04" w:rsidRDefault="00052C04" w:rsidP="00052C04">
      <w:pPr>
        <w:widowControl w:val="0"/>
        <w:numPr>
          <w:ilvl w:val="0"/>
          <w:numId w:val="1"/>
        </w:numPr>
        <w:autoSpaceDE w:val="0"/>
        <w:autoSpaceDN w:val="0"/>
        <w:spacing w:after="0" w:line="240" w:lineRule="auto"/>
        <w:ind w:left="218" w:hangingChars="91" w:hanging="218"/>
        <w:jc w:val="both"/>
        <w:rPr>
          <w:rFonts w:ascii="Times New Roman" w:eastAsia="Calibri" w:hAnsi="Times New Roman" w:cs="Times New Roman"/>
          <w:sz w:val="24"/>
          <w:szCs w:val="20"/>
        </w:rPr>
      </w:pPr>
      <w:r w:rsidRPr="00052C04">
        <w:rPr>
          <w:rFonts w:ascii="Times New Roman" w:eastAsia="Calibri" w:hAnsi="Times New Roman" w:cs="Times New Roman"/>
          <w:sz w:val="24"/>
          <w:szCs w:val="20"/>
        </w:rPr>
        <w:t xml:space="preserve">Jafar Jafari, Honggen Xiao (eds.), </w:t>
      </w:r>
      <w:r w:rsidRPr="00052C04">
        <w:rPr>
          <w:rFonts w:ascii="Times New Roman" w:eastAsia="Calibri" w:hAnsi="Times New Roman" w:cs="Times New Roman"/>
          <w:i/>
          <w:iCs/>
          <w:sz w:val="24"/>
          <w:szCs w:val="20"/>
        </w:rPr>
        <w:t>Encyclopedia of Tourism</w:t>
      </w:r>
      <w:r w:rsidRPr="00052C04">
        <w:rPr>
          <w:rFonts w:ascii="Times New Roman" w:eastAsia="Calibri" w:hAnsi="Times New Roman" w:cs="Times New Roman"/>
          <w:iCs/>
          <w:sz w:val="24"/>
          <w:szCs w:val="20"/>
        </w:rPr>
        <w:t>,</w:t>
      </w:r>
      <w:r w:rsidRPr="00052C04">
        <w:rPr>
          <w:rFonts w:ascii="Times New Roman" w:eastAsia="Calibri" w:hAnsi="Times New Roman" w:cs="Times New Roman"/>
          <w:i/>
          <w:iCs/>
          <w:sz w:val="24"/>
          <w:szCs w:val="20"/>
        </w:rPr>
        <w:t xml:space="preserve"> </w:t>
      </w:r>
      <w:r w:rsidRPr="00052C04">
        <w:rPr>
          <w:rFonts w:ascii="Times New Roman" w:eastAsia="Calibri" w:hAnsi="Times New Roman" w:cs="Times New Roman"/>
          <w:sz w:val="24"/>
          <w:szCs w:val="20"/>
        </w:rPr>
        <w:t>Springer International Publishing Switzerland, 2016, tr.: 711-712.</w:t>
      </w:r>
    </w:p>
    <w:p w:rsidR="00052C04" w:rsidRPr="00052C04" w:rsidRDefault="00052C04" w:rsidP="00052C04">
      <w:pPr>
        <w:widowControl w:val="0"/>
        <w:numPr>
          <w:ilvl w:val="0"/>
          <w:numId w:val="1"/>
        </w:numPr>
        <w:autoSpaceDE w:val="0"/>
        <w:autoSpaceDN w:val="0"/>
        <w:spacing w:after="0" w:line="240" w:lineRule="auto"/>
        <w:ind w:left="218" w:hangingChars="91" w:hanging="218"/>
        <w:jc w:val="both"/>
        <w:rPr>
          <w:rFonts w:ascii="Times New Roman" w:eastAsia="Calibri" w:hAnsi="Times New Roman" w:cs="Times New Roman"/>
          <w:sz w:val="24"/>
          <w:szCs w:val="20"/>
        </w:rPr>
      </w:pPr>
      <w:r w:rsidRPr="00052C04">
        <w:rPr>
          <w:rFonts w:ascii="Times New Roman" w:eastAsia="Calibri" w:hAnsi="Times New Roman" w:cs="Times New Roman"/>
          <w:i/>
          <w:iCs/>
          <w:sz w:val="24"/>
          <w:szCs w:val="20"/>
        </w:rPr>
        <w:t>Nghị định số 79/2012/NĐ-CP về quy định biểu diễn nghệ thuật, trình diễn thời trang; thi người đẹp và người mẫu; lưu hành, kinh doanh bản ghi âm, ghi hình ca múa nhạc, sân khấu</w:t>
      </w:r>
      <w:r w:rsidRPr="00052C04">
        <w:rPr>
          <w:rFonts w:ascii="Times New Roman" w:eastAsia="Calibri" w:hAnsi="Times New Roman" w:cs="Times New Roman"/>
          <w:sz w:val="24"/>
          <w:szCs w:val="20"/>
        </w:rPr>
        <w:t>, 2012.</w:t>
      </w:r>
    </w:p>
    <w:p w:rsidR="00052C04" w:rsidRDefault="00052C04" w:rsidP="00052C04">
      <w:pPr>
        <w:widowControl w:val="0"/>
        <w:numPr>
          <w:ilvl w:val="0"/>
          <w:numId w:val="1"/>
        </w:numPr>
        <w:autoSpaceDE w:val="0"/>
        <w:autoSpaceDN w:val="0"/>
        <w:spacing w:after="0" w:line="240" w:lineRule="auto"/>
        <w:ind w:left="218" w:hangingChars="91" w:hanging="218"/>
        <w:jc w:val="both"/>
        <w:rPr>
          <w:rFonts w:ascii="Times New Roman" w:eastAsia="Calibri" w:hAnsi="Times New Roman" w:cs="Times New Roman"/>
          <w:sz w:val="24"/>
          <w:szCs w:val="20"/>
        </w:rPr>
      </w:pPr>
      <w:r w:rsidRPr="00052C04">
        <w:rPr>
          <w:rFonts w:ascii="Times New Roman" w:eastAsia="Calibri" w:hAnsi="Times New Roman" w:cs="Times New Roman"/>
          <w:i/>
          <w:iCs/>
          <w:sz w:val="24"/>
          <w:szCs w:val="20"/>
        </w:rPr>
        <w:t>Thông tư số 01/2016/TT-BVHTTDL quy định chi tiết thi hành một số điều của Nghị định số 79/2012/NĐ-CP và Nghị định số 15/2016/NĐ-CP</w:t>
      </w:r>
      <w:r w:rsidRPr="00052C04">
        <w:rPr>
          <w:rFonts w:ascii="Times New Roman" w:eastAsia="Calibri" w:hAnsi="Times New Roman" w:cs="Times New Roman"/>
          <w:sz w:val="24"/>
          <w:szCs w:val="20"/>
        </w:rPr>
        <w:t>, 2012.</w:t>
      </w:r>
    </w:p>
    <w:p w:rsidR="00052C04" w:rsidRPr="00052C04" w:rsidRDefault="00052C04" w:rsidP="00052C04">
      <w:pPr>
        <w:widowControl w:val="0"/>
        <w:numPr>
          <w:ilvl w:val="0"/>
          <w:numId w:val="1"/>
        </w:numPr>
        <w:autoSpaceDE w:val="0"/>
        <w:autoSpaceDN w:val="0"/>
        <w:spacing w:after="0" w:line="240" w:lineRule="auto"/>
        <w:ind w:left="218" w:hangingChars="91" w:hanging="218"/>
        <w:jc w:val="both"/>
        <w:rPr>
          <w:rFonts w:ascii="Times New Roman" w:eastAsia="Calibri" w:hAnsi="Times New Roman" w:cs="Times New Roman"/>
          <w:sz w:val="24"/>
          <w:szCs w:val="20"/>
        </w:rPr>
      </w:pPr>
      <w:bookmarkStart w:id="0" w:name="_GoBack"/>
      <w:bookmarkEnd w:id="0"/>
      <w:r w:rsidRPr="00052C04">
        <w:rPr>
          <w:rFonts w:ascii="Times New Roman" w:eastAsia="Calibri" w:hAnsi="Times New Roman" w:cs="Times New Roman"/>
          <w:iCs/>
          <w:sz w:val="24"/>
          <w:szCs w:val="24"/>
          <w:lang w:val="vi-VN"/>
        </w:rPr>
        <w:t>Bob McKercher and Hilary du Cros</w:t>
      </w:r>
      <w:r w:rsidRPr="00052C04">
        <w:rPr>
          <w:rFonts w:ascii="Times New Roman" w:eastAsia="Calibri" w:hAnsi="Times New Roman" w:cs="Times New Roman"/>
          <w:iCs/>
          <w:sz w:val="24"/>
          <w:szCs w:val="24"/>
        </w:rPr>
        <w:t>,</w:t>
      </w:r>
      <w:r w:rsidRPr="00052C04">
        <w:rPr>
          <w:rFonts w:ascii="Times New Roman" w:eastAsia="Calibri" w:hAnsi="Times New Roman" w:cs="Times New Roman"/>
          <w:i/>
          <w:iCs/>
          <w:sz w:val="24"/>
          <w:szCs w:val="24"/>
        </w:rPr>
        <w:t xml:space="preserve"> </w:t>
      </w:r>
      <w:r w:rsidRPr="00052C04">
        <w:rPr>
          <w:rFonts w:ascii="Times New Roman" w:eastAsia="Calibri" w:hAnsi="Times New Roman" w:cs="Times New Roman"/>
          <w:i/>
          <w:iCs/>
          <w:sz w:val="24"/>
          <w:szCs w:val="24"/>
          <w:lang w:val="vi-VN"/>
        </w:rPr>
        <w:t>Cultural Tourism: The Partnership between Tourism and Cultural Heritage Management</w:t>
      </w:r>
      <w:r w:rsidRPr="00052C04">
        <w:rPr>
          <w:rFonts w:ascii="Times New Roman" w:eastAsia="Calibri" w:hAnsi="Times New Roman" w:cs="Times New Roman"/>
          <w:i/>
          <w:iCs/>
          <w:sz w:val="24"/>
          <w:szCs w:val="24"/>
        </w:rPr>
        <w:t xml:space="preserve">, </w:t>
      </w:r>
      <w:r w:rsidRPr="00052C04">
        <w:rPr>
          <w:rFonts w:ascii="Times New Roman" w:eastAsia="Calibri" w:hAnsi="Times New Roman" w:cs="Times New Roman"/>
          <w:sz w:val="24"/>
          <w:szCs w:val="24"/>
          <w:shd w:val="clear" w:color="auto" w:fill="FFFFFF"/>
        </w:rPr>
        <w:t>Routledge, 2002.</w:t>
      </w:r>
    </w:p>
    <w:p w:rsidR="00052C04" w:rsidRPr="00052C04" w:rsidRDefault="00052C04" w:rsidP="00052C04">
      <w:pPr>
        <w:widowControl w:val="0"/>
        <w:tabs>
          <w:tab w:val="left" w:pos="284"/>
        </w:tabs>
        <w:autoSpaceDE w:val="0"/>
        <w:autoSpaceDN w:val="0"/>
        <w:spacing w:after="0" w:line="240" w:lineRule="auto"/>
        <w:jc w:val="both"/>
        <w:rPr>
          <w:rFonts w:ascii="Times New Roman" w:eastAsia="Calibri" w:hAnsi="Times New Roman" w:cs="Times New Roman"/>
          <w:sz w:val="24"/>
          <w:szCs w:val="24"/>
          <w:shd w:val="clear" w:color="auto" w:fill="FFFFFF"/>
        </w:rPr>
      </w:pPr>
    </w:p>
    <w:p w:rsidR="00052C04" w:rsidRPr="00052C04" w:rsidRDefault="00052C04" w:rsidP="00052C04">
      <w:pPr>
        <w:widowControl w:val="0"/>
        <w:tabs>
          <w:tab w:val="left" w:pos="284"/>
        </w:tabs>
        <w:autoSpaceDE w:val="0"/>
        <w:autoSpaceDN w:val="0"/>
        <w:spacing w:after="0" w:line="240" w:lineRule="auto"/>
        <w:jc w:val="both"/>
        <w:rPr>
          <w:rFonts w:ascii="Times New Roman" w:eastAsia="Calibri" w:hAnsi="Times New Roman" w:cs="Times New Roman"/>
          <w:sz w:val="24"/>
          <w:szCs w:val="24"/>
          <w:shd w:val="clear" w:color="auto" w:fill="FFFFFF"/>
        </w:rPr>
      </w:pPr>
    </w:p>
    <w:p w:rsidR="00052C04" w:rsidRDefault="00052C04"/>
    <w:sectPr w:rsidR="00052C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814D9"/>
    <w:multiLevelType w:val="multilevel"/>
    <w:tmpl w:val="799814D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04"/>
    <w:rsid w:val="0005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2CB64"/>
  <w15:chartTrackingRefBased/>
  <w15:docId w15:val="{A951C5D2-3E92-4593-A7C2-F510EA8F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CÔNG TRƯỜNG</dc:creator>
  <cp:keywords/>
  <dc:description/>
  <cp:lastModifiedBy>NGUYEN CÔNG TRƯỜNG</cp:lastModifiedBy>
  <cp:revision>1</cp:revision>
  <dcterms:created xsi:type="dcterms:W3CDTF">2026-06-29T10:27:00Z</dcterms:created>
  <dcterms:modified xsi:type="dcterms:W3CDTF">2026-06-29T10:28:00Z</dcterms:modified>
</cp:coreProperties>
</file>